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Urbitor spółka z ograniczoną odpowiedzialnością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Chrobrego 105/107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bookmarkStart w:id="1" w:name="_Hlk132636724"/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o aktualności informacji o braku podstaw wykluczenia</w:t>
      </w: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dostawę sprzętu IT oraz wyposażenia do budynku Toruń Space </w:t>
      </w:r>
      <w:proofErr w:type="spellStart"/>
      <w:r>
        <w:rPr>
          <w:rFonts w:ascii="Calibri" w:eastAsia="SimSun" w:hAnsi="Calibri" w:cs="Calibri"/>
          <w:lang w:eastAsia="en-US"/>
        </w:rPr>
        <w:t>Labs</w:t>
      </w:r>
      <w:proofErr w:type="spellEnd"/>
      <w:r>
        <w:rPr>
          <w:rFonts w:ascii="Calibri" w:eastAsia="SimSun" w:hAnsi="Calibri" w:cs="Calibri"/>
          <w:lang w:eastAsia="en-US"/>
        </w:rPr>
        <w:t xml:space="preserve"> (znak postępowania DS/ZP05/2023) oświadczamy, co następuje</w:t>
      </w:r>
      <w:r>
        <w:rPr>
          <w:rFonts w:ascii="Calibri" w:eastAsia="Calibri" w:hAnsi="Calibri" w:cs="Arial"/>
          <w:lang w:eastAsia="en-US"/>
        </w:rPr>
        <w:t>:</w:t>
      </w:r>
    </w:p>
    <w:bookmarkEnd w:id="1"/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bCs/>
          <w:i/>
          <w:iCs/>
          <w:sz w:val="22"/>
          <w:szCs w:val="22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bCs/>
          <w:lang w:eastAsia="en-US"/>
        </w:rPr>
      </w:pPr>
      <w:r>
        <w:rPr>
          <w:rFonts w:ascii="Calibri" w:eastAsia="Calibri" w:hAnsi="Calibri" w:cs="Arial"/>
          <w:bCs/>
          <w:lang w:eastAsia="en-US"/>
        </w:rPr>
        <w:t>Oświadczamy, że informacje zawarte w złożonym przez nas oświadczeniu, o którym mowa w art. 125 ust. 1 ustawy z dnia 11 września 2019 r. – Prawo zamówień publicznych (zwaną dalej „Ustawą”), pozostaje aktualne w zakresie podstaw wykluczenia z postępowania, o których mowa w: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108 ust. 1 pkt 3 Ustawy,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108 ust. 1 pkt 4 Ustawy, dotyczących orzeczenia zakazu ubiegania się o zamówienie publiczne tytułem środka zapobiegawczego,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lastRenderedPageBreak/>
        <w:t>art. 108 ust. 1 pkt 5 Ustawy, dotyczących zawarcia z innymi wykonawcami porozumienia mającego na celu zakłócenie konkurencji,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108 ust. 1 pkt 6 Ustawy,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109 ust. 1 pkt 2 lit. b Ustawy, dotyczących ukarania za wykroczenie, za które wymierzono karę ograniczenia wolności lub karę grzywny,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109 ust. 1 pkt 2 lit. c Ustawy,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109 ust. 1 pkt 3 Ustawy, dotyczących ukarania za wykroczenie, za które wymierzono karę ograniczenia wolności lub karę grzywny,</w:t>
      </w:r>
    </w:p>
    <w:p>
      <w:pPr>
        <w:numPr>
          <w:ilvl w:val="3"/>
          <w:numId w:val="2"/>
        </w:num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art. 109 ust. 1 pkt 5-10 Ustawy.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>
      <w:pPr>
        <w:suppressAutoHyphens w:val="0"/>
        <w:spacing w:line="360" w:lineRule="auto"/>
        <w:contextualSpacing/>
        <w:jc w:val="both"/>
      </w:pPr>
      <w:r>
        <w:rPr>
          <w:rFonts w:ascii="Calibri" w:eastAsia="Calibri" w:hAnsi="Calibri" w:cs="Arial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Calibri" w:hAnsi="Calibri"/>
        <w:sz w:val="20"/>
        <w:szCs w:val="20"/>
      </w:rPr>
    </w:pPr>
  </w:p>
  <w:p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bookmarkStart w:id="8" w:name="_Hlk132712867"/>
    <w:r>
      <w:rPr>
        <w:rFonts w:ascii="Calibri" w:hAnsi="Calibri" w:cs="Calibri"/>
        <w:color w:val="auto"/>
        <w:sz w:val="20"/>
      </w:rPr>
      <w:t xml:space="preserve">załącznik nr </w:t>
    </w:r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color w:val="auto"/>
        <w:sz w:val="20"/>
      </w:rPr>
      <w:t>8 do SWZ (</w:t>
    </w:r>
    <w:r>
      <w:rPr>
        <w:rFonts w:ascii="Calibri" w:hAnsi="Calibri" w:cs="Calibri"/>
        <w:bCs/>
        <w:color w:val="auto"/>
        <w:sz w:val="20"/>
      </w:rPr>
      <w:t>DS/ZP05/2023</w:t>
    </w:r>
    <w:r>
      <w:rPr>
        <w:rFonts w:ascii="Calibri" w:hAnsi="Calibri" w:cs="Calibri"/>
        <w:color w:val="auto"/>
        <w:sz w:val="20"/>
      </w:rPr>
      <w:t>)</w:t>
    </w:r>
  </w:p>
  <w:bookmarkEnd w:id="8"/>
  <w:p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 w16cid:durableId="2129347272">
    <w:abstractNumId w:val="22"/>
  </w:num>
  <w:num w:numId="2" w16cid:durableId="1692876064">
    <w:abstractNumId w:val="18"/>
  </w:num>
  <w:num w:numId="3" w16cid:durableId="218635792">
    <w:abstractNumId w:val="8"/>
  </w:num>
  <w:num w:numId="4" w16cid:durableId="2096120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43593">
    <w:abstractNumId w:val="3"/>
  </w:num>
  <w:num w:numId="6" w16cid:durableId="1921088941">
    <w:abstractNumId w:val="7"/>
  </w:num>
  <w:num w:numId="7" w16cid:durableId="1533030656">
    <w:abstractNumId w:val="20"/>
  </w:num>
  <w:num w:numId="8" w16cid:durableId="1547060200">
    <w:abstractNumId w:val="9"/>
  </w:num>
  <w:num w:numId="9" w16cid:durableId="443306901">
    <w:abstractNumId w:val="21"/>
  </w:num>
  <w:num w:numId="10" w16cid:durableId="1906143849">
    <w:abstractNumId w:val="5"/>
  </w:num>
  <w:num w:numId="11" w16cid:durableId="803625157">
    <w:abstractNumId w:val="10"/>
  </w:num>
  <w:num w:numId="12" w16cid:durableId="1098140403">
    <w:abstractNumId w:val="1"/>
  </w:num>
  <w:num w:numId="13" w16cid:durableId="1189880194">
    <w:abstractNumId w:val="0"/>
  </w:num>
  <w:num w:numId="14" w16cid:durableId="435290469">
    <w:abstractNumId w:val="24"/>
  </w:num>
  <w:num w:numId="15" w16cid:durableId="1029455359">
    <w:abstractNumId w:val="23"/>
  </w:num>
  <w:num w:numId="16" w16cid:durableId="722561830">
    <w:abstractNumId w:val="2"/>
  </w:num>
  <w:num w:numId="17" w16cid:durableId="955021100">
    <w:abstractNumId w:val="16"/>
  </w:num>
  <w:num w:numId="18" w16cid:durableId="904072001">
    <w:abstractNumId w:val="19"/>
  </w:num>
  <w:num w:numId="19" w16cid:durableId="796070642">
    <w:abstractNumId w:val="12"/>
  </w:num>
  <w:num w:numId="20" w16cid:durableId="679813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522022">
    <w:abstractNumId w:val="13"/>
  </w:num>
  <w:num w:numId="22" w16cid:durableId="997731133">
    <w:abstractNumId w:val="17"/>
  </w:num>
  <w:num w:numId="23" w16cid:durableId="82453895">
    <w:abstractNumId w:val="6"/>
  </w:num>
  <w:num w:numId="24" w16cid:durableId="1887835064">
    <w:abstractNumId w:val="11"/>
  </w:num>
  <w:num w:numId="25" w16cid:durableId="989216590">
    <w:abstractNumId w:val="26"/>
  </w:num>
  <w:num w:numId="26" w16cid:durableId="1048072874">
    <w:abstractNumId w:val="15"/>
  </w:num>
  <w:num w:numId="27" w16cid:durableId="171845869">
    <w:abstractNumId w:val="4"/>
  </w:num>
  <w:num w:numId="28" w16cid:durableId="192938539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1460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F2A6-8BD1-48BF-AF1F-D3B37D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Grzegorz Rogalewicz</cp:lastModifiedBy>
  <cp:revision>143</cp:revision>
  <cp:lastPrinted>2023-04-19T10:14:00Z</cp:lastPrinted>
  <dcterms:created xsi:type="dcterms:W3CDTF">2020-02-20T11:07:00Z</dcterms:created>
  <dcterms:modified xsi:type="dcterms:W3CDTF">2023-08-21T10:11:00Z</dcterms:modified>
  <cp:contentStatus/>
</cp:coreProperties>
</file>