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822EE" w14:textId="77777777" w:rsidR="00DF7B03" w:rsidRDefault="00DF7B03" w:rsidP="00DF7B03">
      <w:pPr>
        <w:spacing w:line="276" w:lineRule="auto"/>
        <w:jc w:val="right"/>
      </w:pPr>
      <w:bookmarkStart w:id="0" w:name="_Toc492557284"/>
      <w:bookmarkStart w:id="1" w:name="_Toc492715440"/>
    </w:p>
    <w:p w14:paraId="30D0DFE0" w14:textId="77777777" w:rsidR="00DF7B03" w:rsidRDefault="00DF7B03" w:rsidP="00DF7B03">
      <w:pPr>
        <w:spacing w:line="276" w:lineRule="auto"/>
        <w:jc w:val="right"/>
      </w:pPr>
      <w:r w:rsidRPr="006225A7">
        <w:t xml:space="preserve">Toruń, </w:t>
      </w:r>
      <w:r>
        <w:t>12 czerwca</w:t>
      </w:r>
      <w:r w:rsidRPr="006225A7">
        <w:t xml:space="preserve"> 2020 r.</w:t>
      </w:r>
    </w:p>
    <w:p w14:paraId="58295EED" w14:textId="77777777" w:rsidR="00DF7B03" w:rsidRPr="006225A7" w:rsidRDefault="00DF7B03" w:rsidP="00DF7B03">
      <w:pPr>
        <w:spacing w:line="276" w:lineRule="auto"/>
      </w:pPr>
      <w:r>
        <w:t>Numer postępowania: ________________</w:t>
      </w:r>
    </w:p>
    <w:p w14:paraId="462BA009" w14:textId="77777777" w:rsidR="00DF7B03" w:rsidRDefault="00DF7B03" w:rsidP="00DF7B03">
      <w:pPr>
        <w:pStyle w:val="Nagwek1"/>
        <w:rPr>
          <w:rFonts w:ascii="Calibri" w:hAnsi="Calibri" w:cs="Calibri"/>
          <w:bCs w:val="0"/>
          <w:sz w:val="28"/>
          <w:szCs w:val="28"/>
        </w:rPr>
      </w:pPr>
    </w:p>
    <w:p w14:paraId="12A74F5D" w14:textId="77777777" w:rsidR="00DF7B03" w:rsidRDefault="00DF7B03" w:rsidP="00DF7B03"/>
    <w:p w14:paraId="379C7150" w14:textId="77777777" w:rsidR="00DF7B03" w:rsidRPr="0048650D" w:rsidRDefault="00DF7B03" w:rsidP="00DF7B03"/>
    <w:p w14:paraId="07B3CB54" w14:textId="77777777" w:rsidR="00DF7B03" w:rsidRDefault="00DF7B03" w:rsidP="00DF7B03">
      <w:pPr>
        <w:spacing w:line="276" w:lineRule="auto"/>
        <w:jc w:val="center"/>
        <w:rPr>
          <w:b/>
        </w:rPr>
      </w:pPr>
      <w:r w:rsidRPr="0048650D">
        <w:rPr>
          <w:b/>
        </w:rPr>
        <w:t>ZAPYTANIE OFERTOWE</w:t>
      </w:r>
    </w:p>
    <w:p w14:paraId="178C1103" w14:textId="77777777" w:rsidR="00DF7B03" w:rsidRDefault="00DF7B03" w:rsidP="00DF7B03">
      <w:pPr>
        <w:spacing w:line="276" w:lineRule="auto"/>
        <w:jc w:val="center"/>
        <w:rPr>
          <w:b/>
        </w:rPr>
      </w:pPr>
    </w:p>
    <w:p w14:paraId="73755C1B" w14:textId="77777777" w:rsidR="00DF7B03" w:rsidRPr="0048650D" w:rsidRDefault="00DF7B03" w:rsidP="00DF7B03">
      <w:pPr>
        <w:spacing w:line="276" w:lineRule="auto"/>
        <w:jc w:val="center"/>
        <w:rPr>
          <w:b/>
        </w:rPr>
      </w:pPr>
    </w:p>
    <w:p w14:paraId="785B649A" w14:textId="77777777" w:rsidR="00DF7B03" w:rsidRPr="0048650D" w:rsidRDefault="00DF7B03" w:rsidP="00DF7B03">
      <w:pPr>
        <w:spacing w:line="276" w:lineRule="auto"/>
        <w:rPr>
          <w:bCs/>
        </w:rPr>
      </w:pPr>
    </w:p>
    <w:p w14:paraId="652F5E41" w14:textId="77777777" w:rsidR="00DF7B03" w:rsidRPr="0048650D" w:rsidRDefault="00DF7B03" w:rsidP="00DF7B03">
      <w:pPr>
        <w:pStyle w:val="Akapitzlist"/>
        <w:numPr>
          <w:ilvl w:val="0"/>
          <w:numId w:val="2"/>
        </w:numPr>
        <w:spacing w:line="276" w:lineRule="auto"/>
        <w:rPr>
          <w:rFonts w:ascii="Arial" w:hAnsi="Arial" w:cs="Arial"/>
          <w:b/>
          <w:sz w:val="20"/>
          <w:szCs w:val="20"/>
        </w:rPr>
      </w:pPr>
      <w:r w:rsidRPr="0048650D">
        <w:rPr>
          <w:rFonts w:ascii="Arial" w:hAnsi="Arial" w:cs="Arial"/>
          <w:b/>
          <w:sz w:val="20"/>
          <w:szCs w:val="20"/>
        </w:rPr>
        <w:t>Informacje wstępne.</w:t>
      </w:r>
    </w:p>
    <w:p w14:paraId="653FDC9F" w14:textId="77777777" w:rsidR="00DF7B03" w:rsidRPr="0048650D" w:rsidRDefault="00DF7B03" w:rsidP="00DF7B03">
      <w:pPr>
        <w:pStyle w:val="Akapitzlist"/>
        <w:spacing w:line="276" w:lineRule="auto"/>
        <w:ind w:left="1080"/>
        <w:rPr>
          <w:rFonts w:ascii="Arial" w:hAnsi="Arial" w:cs="Arial"/>
          <w:bCs/>
          <w:sz w:val="20"/>
          <w:szCs w:val="20"/>
        </w:rPr>
      </w:pPr>
    </w:p>
    <w:p w14:paraId="5DFFA703" w14:textId="77777777" w:rsidR="00DF7B03" w:rsidRPr="0048650D" w:rsidRDefault="00DF7B03" w:rsidP="00DF7B03">
      <w:pPr>
        <w:spacing w:line="360" w:lineRule="auto"/>
        <w:jc w:val="both"/>
      </w:pPr>
      <w:r w:rsidRPr="0048650D">
        <w:rPr>
          <w:bCs/>
        </w:rPr>
        <w:t>URBITOR Spółka z ograniczoną odpowiedzialnością z siedzibą w Toruniu, ul. Chrobrego 105/107, 87-100 Toruń, wpisaną w rejestrze przedsiębiorców KRS pod numerem 0000325890, prosi o złożenie oferty cenowej na opracowanie dokumentacji projektowej dla realizacji projektu finansowanego w ramach Regionalnego Programu Operacyjnego Województwa Kujawsko-Pomorskiego na lata 2014-2020, Osi Priorytetowej 1. Wzmocnienie innowacyjności i konkurencyjności gospodarki regionu, Działania 1.4. Wsparcie rozwoju przedsiębiorczości, Poddziałania 1.4.3 Rozwój infrastruktury na rzecz rozwoju gospodarczego pod nazwą „Toruń Space Labs” obejmującej</w:t>
      </w:r>
      <w:r>
        <w:rPr>
          <w:bCs/>
        </w:rPr>
        <w:t>:</w:t>
      </w:r>
    </w:p>
    <w:p w14:paraId="33B70378" w14:textId="77777777" w:rsidR="00DF7B03" w:rsidRPr="0048650D" w:rsidRDefault="00DF7B03" w:rsidP="00DF7B03">
      <w:pPr>
        <w:spacing w:line="360" w:lineRule="auto"/>
        <w:jc w:val="both"/>
      </w:pPr>
    </w:p>
    <w:p w14:paraId="0F0CE338" w14:textId="77777777" w:rsidR="00DF7B03" w:rsidRDefault="00DF7B03" w:rsidP="00DF7B03">
      <w:pPr>
        <w:pStyle w:val="Nagwek1"/>
        <w:numPr>
          <w:ilvl w:val="0"/>
          <w:numId w:val="3"/>
        </w:numPr>
        <w:spacing w:line="360" w:lineRule="auto"/>
        <w:jc w:val="both"/>
        <w:rPr>
          <w:sz w:val="20"/>
          <w:szCs w:val="20"/>
        </w:rPr>
      </w:pPr>
      <w:r w:rsidRPr="0048650D">
        <w:rPr>
          <w:sz w:val="20"/>
          <w:szCs w:val="20"/>
        </w:rPr>
        <w:t xml:space="preserve">Przygotowanie modelu finansowego dla przedsięwzięcia w oparciu o wzór arkusza kalkulacyjnego stanowiący załącznik nr 1 do niniejszego zapytania </w:t>
      </w:r>
      <w:r>
        <w:rPr>
          <w:sz w:val="20"/>
          <w:szCs w:val="20"/>
        </w:rPr>
        <w:t>.</w:t>
      </w:r>
    </w:p>
    <w:p w14:paraId="7C759FE6" w14:textId="77777777" w:rsidR="00DF7B03" w:rsidRDefault="00DF7B03" w:rsidP="00DF7B03">
      <w:pPr>
        <w:pStyle w:val="Nagwek1"/>
        <w:numPr>
          <w:ilvl w:val="0"/>
          <w:numId w:val="3"/>
        </w:numPr>
        <w:spacing w:line="360" w:lineRule="auto"/>
        <w:jc w:val="both"/>
        <w:rPr>
          <w:sz w:val="20"/>
          <w:szCs w:val="20"/>
        </w:rPr>
      </w:pPr>
      <w:r w:rsidRPr="0048650D">
        <w:rPr>
          <w:sz w:val="20"/>
          <w:szCs w:val="20"/>
        </w:rPr>
        <w:t>Przygotowanie części opisowej analizy finansowej projektu</w:t>
      </w:r>
      <w:bookmarkEnd w:id="0"/>
      <w:bookmarkEnd w:id="1"/>
      <w:r w:rsidRPr="0048650D">
        <w:rPr>
          <w:sz w:val="20"/>
          <w:szCs w:val="20"/>
        </w:rPr>
        <w:t xml:space="preserve"> w zakresie</w:t>
      </w:r>
      <w:r>
        <w:rPr>
          <w:sz w:val="20"/>
          <w:szCs w:val="20"/>
        </w:rPr>
        <w:t>:</w:t>
      </w:r>
      <w:bookmarkStart w:id="2" w:name="_Toc492557285"/>
      <w:bookmarkStart w:id="3" w:name="_Toc492715441"/>
    </w:p>
    <w:p w14:paraId="47844279" w14:textId="77777777" w:rsidR="00DF7B03" w:rsidRDefault="00DF7B03" w:rsidP="00DF7B03">
      <w:pPr>
        <w:pStyle w:val="Nagwek1"/>
        <w:spacing w:line="360" w:lineRule="auto"/>
        <w:ind w:left="720"/>
        <w:jc w:val="both"/>
        <w:rPr>
          <w:sz w:val="20"/>
          <w:szCs w:val="20"/>
        </w:rPr>
      </w:pPr>
    </w:p>
    <w:p w14:paraId="37F708FA" w14:textId="77777777" w:rsidR="00DF7B03" w:rsidRPr="0048650D" w:rsidRDefault="00DF7B03" w:rsidP="00DF7B03">
      <w:pPr>
        <w:pStyle w:val="Nagwek1"/>
        <w:numPr>
          <w:ilvl w:val="1"/>
          <w:numId w:val="3"/>
        </w:numPr>
        <w:spacing w:line="360" w:lineRule="auto"/>
        <w:jc w:val="both"/>
        <w:rPr>
          <w:sz w:val="20"/>
          <w:szCs w:val="20"/>
        </w:rPr>
      </w:pPr>
      <w:r w:rsidRPr="0048650D">
        <w:rPr>
          <w:sz w:val="20"/>
          <w:szCs w:val="20"/>
        </w:rPr>
        <w:t xml:space="preserve"> Założenia do analizy finansowej</w:t>
      </w:r>
      <w:bookmarkEnd w:id="2"/>
      <w:bookmarkEnd w:id="3"/>
    </w:p>
    <w:p w14:paraId="1B2043AD" w14:textId="77777777" w:rsidR="00DF7B03" w:rsidRPr="0048650D" w:rsidRDefault="00DF7B03" w:rsidP="00DF7B0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F7B03" w:rsidRPr="0048650D" w14:paraId="48B93774" w14:textId="77777777" w:rsidTr="00195AAF">
        <w:trPr>
          <w:trHeight w:val="70"/>
        </w:trPr>
        <w:tc>
          <w:tcPr>
            <w:tcW w:w="9747" w:type="dxa"/>
            <w:shd w:val="clear" w:color="auto" w:fill="F2F2F2"/>
          </w:tcPr>
          <w:p w14:paraId="3FD10A0E" w14:textId="77777777" w:rsidR="00DF7B03" w:rsidRPr="0048650D" w:rsidRDefault="00DF7B03" w:rsidP="00195AAF">
            <w:pPr>
              <w:pStyle w:val="Style17"/>
              <w:widowControl/>
              <w:shd w:val="clear" w:color="auto" w:fill="F2F2F2"/>
              <w:spacing w:line="240" w:lineRule="auto"/>
              <w:ind w:firstLine="0"/>
              <w:rPr>
                <w:rStyle w:val="FontStyle31"/>
                <w:rFonts w:ascii="Arial" w:hAnsi="Arial" w:cs="Arial"/>
                <w:i/>
              </w:rPr>
            </w:pPr>
            <w:r w:rsidRPr="0048650D">
              <w:rPr>
                <w:rStyle w:val="ZnakZnakZnakZnakZnakZnak"/>
                <w:rFonts w:ascii="Arial" w:hAnsi="Arial" w:cs="Arial"/>
                <w:iCs/>
                <w:sz w:val="20"/>
                <w:szCs w:val="20"/>
              </w:rPr>
              <w:t>Wnioskodawca opisuje w tym punkcie założenia do poszczególnych punktów analizy finansowej. Analiza powinna opierać się na założeniach wskazanych w Podrozdziale 7.4. Wytycznych PGD i PH</w:t>
            </w:r>
            <w:r w:rsidRPr="0048650D">
              <w:rPr>
                <w:rStyle w:val="FontStyle31"/>
                <w:rFonts w:ascii="Arial" w:hAnsi="Arial" w:cs="Arial"/>
                <w:i/>
              </w:rPr>
              <w:t>.</w:t>
            </w:r>
          </w:p>
          <w:p w14:paraId="517B9C7E" w14:textId="77777777" w:rsidR="00DF7B03" w:rsidRPr="0048650D" w:rsidRDefault="00DF7B03" w:rsidP="00195AAF">
            <w:pPr>
              <w:pStyle w:val="Style14"/>
              <w:widowControl/>
              <w:shd w:val="clear" w:color="auto" w:fill="F2F2F2"/>
              <w:jc w:val="both"/>
              <w:rPr>
                <w:rStyle w:val="ZnakZnakZnakZnakZnakZnak"/>
                <w:rFonts w:ascii="Arial" w:hAnsi="Arial" w:cs="Arial"/>
                <w:iCs/>
                <w:sz w:val="20"/>
                <w:szCs w:val="20"/>
              </w:rPr>
            </w:pPr>
            <w:r w:rsidRPr="0048650D">
              <w:rPr>
                <w:rStyle w:val="ZnakZnakZnakZnakZnakZnak"/>
                <w:rFonts w:ascii="Arial" w:hAnsi="Arial" w:cs="Arial"/>
                <w:iCs/>
                <w:sz w:val="20"/>
                <w:szCs w:val="20"/>
              </w:rPr>
              <w:t xml:space="preserve">Instytucja Zarządzająca RPO WK-P 2014-2020 nie przewiduje odstępstw od zapisów przytoczonej instrukcji (dotyczy to np. przyjęcia innej finansowej </w:t>
            </w:r>
            <w:r w:rsidRPr="0048650D">
              <w:rPr>
                <w:rStyle w:val="ZnakZnakZnakZnakZnakZnak"/>
                <w:rFonts w:ascii="Arial" w:hAnsi="Arial" w:cs="Arial"/>
                <w:b/>
                <w:iCs/>
                <w:sz w:val="20"/>
                <w:szCs w:val="20"/>
              </w:rPr>
              <w:t>stopy dyskontowej</w:t>
            </w:r>
            <w:r w:rsidRPr="0048650D">
              <w:rPr>
                <w:rStyle w:val="ZnakZnakZnakZnakZnakZnak"/>
                <w:rFonts w:ascii="Arial" w:hAnsi="Arial" w:cs="Arial"/>
                <w:iCs/>
                <w:sz w:val="20"/>
                <w:szCs w:val="20"/>
              </w:rPr>
              <w:t xml:space="preserve"> niż 4% dla analizy prowadzonej </w:t>
            </w:r>
            <w:r w:rsidRPr="0048650D">
              <w:rPr>
                <w:rStyle w:val="ZnakZnakZnakZnakZnakZnak"/>
                <w:rFonts w:ascii="Arial" w:hAnsi="Arial" w:cs="Arial"/>
                <w:b/>
                <w:iCs/>
                <w:sz w:val="20"/>
                <w:szCs w:val="20"/>
              </w:rPr>
              <w:t>w cenach stałych</w:t>
            </w:r>
            <w:r w:rsidRPr="0048650D">
              <w:rPr>
                <w:rStyle w:val="ZnakZnakZnakZnakZnakZnak"/>
                <w:rFonts w:ascii="Arial" w:hAnsi="Arial" w:cs="Arial"/>
                <w:iCs/>
                <w:sz w:val="20"/>
                <w:szCs w:val="20"/>
              </w:rPr>
              <w:t xml:space="preserve"> i 6% dla analizy prowadzonej </w:t>
            </w:r>
            <w:r w:rsidRPr="0048650D">
              <w:rPr>
                <w:rStyle w:val="ZnakZnakZnakZnakZnakZnak"/>
                <w:rFonts w:ascii="Arial" w:hAnsi="Arial" w:cs="Arial"/>
                <w:b/>
                <w:iCs/>
                <w:sz w:val="20"/>
                <w:szCs w:val="20"/>
              </w:rPr>
              <w:t>w cenach bieżących</w:t>
            </w:r>
            <w:r w:rsidRPr="0048650D">
              <w:rPr>
                <w:rStyle w:val="ZnakZnakZnakZnakZnakZnak"/>
                <w:rFonts w:ascii="Arial" w:hAnsi="Arial" w:cs="Arial"/>
                <w:iCs/>
                <w:sz w:val="20"/>
                <w:szCs w:val="20"/>
              </w:rPr>
              <w:t>).</w:t>
            </w:r>
          </w:p>
          <w:p w14:paraId="0E2F6CB6" w14:textId="77777777" w:rsidR="00DF7B03" w:rsidRPr="0048650D" w:rsidRDefault="00DF7B03" w:rsidP="00195AAF">
            <w:pPr>
              <w:pStyle w:val="Style14"/>
              <w:widowControl/>
              <w:shd w:val="clear" w:color="auto" w:fill="F2F2F2"/>
              <w:jc w:val="both"/>
              <w:rPr>
                <w:rStyle w:val="ZnakZnakZnakZnakZnakZnak"/>
                <w:rFonts w:ascii="Arial" w:hAnsi="Arial" w:cs="Arial"/>
                <w:iCs/>
                <w:sz w:val="20"/>
                <w:szCs w:val="20"/>
              </w:rPr>
            </w:pPr>
            <w:r w:rsidRPr="0048650D">
              <w:rPr>
                <w:rStyle w:val="ZnakZnakZnakZnakZnakZnak"/>
                <w:rFonts w:ascii="Arial" w:hAnsi="Arial" w:cs="Arial"/>
                <w:iCs/>
                <w:sz w:val="20"/>
                <w:szCs w:val="20"/>
              </w:rPr>
              <w:t xml:space="preserve">W przypadku </w:t>
            </w:r>
            <w:r w:rsidRPr="0048650D">
              <w:rPr>
                <w:rStyle w:val="FontStyle30"/>
                <w:rFonts w:ascii="Arial" w:hAnsi="Arial" w:cs="Arial"/>
                <w:iCs w:val="0"/>
              </w:rPr>
              <w:t xml:space="preserve">okresów odniesienia </w:t>
            </w:r>
            <w:r w:rsidRPr="0048650D">
              <w:rPr>
                <w:rStyle w:val="ZnakZnakZnakZnakZnakZnak"/>
                <w:rFonts w:ascii="Arial" w:hAnsi="Arial" w:cs="Arial"/>
                <w:iCs/>
                <w:sz w:val="20"/>
                <w:szCs w:val="20"/>
              </w:rPr>
              <w:t>stanowiących załącznik I do rozporządzenia nr 480/2014, dla sektorów, dla których okres ten został wskazany jako przedział czasowy, należy przyjąć jego maksymalną długość (czyli np. dla sektora „Pozostałe" okres odniesienia powinien wynosić 15 lat), chyba, że wnioskodawca szczegółowo wskaże uzasadnienie krótszego okresu odniesienia (choć nadal we wskazanym przedziale czasowym) wynikającego ze specyfiki danej inwestycji.</w:t>
            </w:r>
          </w:p>
          <w:p w14:paraId="4C6A3AEA" w14:textId="77777777" w:rsidR="00DF7B03" w:rsidRPr="0048650D" w:rsidRDefault="00DF7B03" w:rsidP="00195AAF">
            <w:pPr>
              <w:pStyle w:val="Style14"/>
              <w:widowControl/>
              <w:shd w:val="clear" w:color="auto" w:fill="F2F2F2"/>
              <w:jc w:val="both"/>
              <w:rPr>
                <w:rStyle w:val="ZnakZnakZnakZnakZnakZnak"/>
                <w:rFonts w:ascii="Arial" w:hAnsi="Arial" w:cs="Arial"/>
                <w:iCs/>
                <w:sz w:val="20"/>
                <w:szCs w:val="20"/>
              </w:rPr>
            </w:pPr>
            <w:r w:rsidRPr="0048650D">
              <w:rPr>
                <w:rStyle w:val="ZnakZnakZnakZnakZnakZnak"/>
                <w:rFonts w:ascii="Arial" w:hAnsi="Arial" w:cs="Arial"/>
                <w:iCs/>
                <w:sz w:val="20"/>
                <w:szCs w:val="20"/>
              </w:rPr>
              <w:t xml:space="preserve">O ile metoda określania </w:t>
            </w:r>
            <w:r w:rsidRPr="0048650D">
              <w:rPr>
                <w:rStyle w:val="FontStyle30"/>
                <w:rFonts w:ascii="Arial" w:hAnsi="Arial" w:cs="Arial"/>
                <w:iCs w:val="0"/>
              </w:rPr>
              <w:t xml:space="preserve">wartości rezydualnej </w:t>
            </w:r>
            <w:r w:rsidRPr="0048650D">
              <w:rPr>
                <w:rStyle w:val="ZnakZnakZnakZnakZnakZnak"/>
                <w:rFonts w:ascii="Arial" w:hAnsi="Arial" w:cs="Arial"/>
                <w:iCs/>
                <w:sz w:val="20"/>
                <w:szCs w:val="20"/>
              </w:rPr>
              <w:t>dla specyficznego rodzaju przedsięwzięcia nie została uszczegółowiona w zaleceniach sektorowych wskazanych w Rozdziale 11 Wytycznych PGD i PH</w:t>
            </w:r>
            <w:r w:rsidRPr="0048650D">
              <w:rPr>
                <w:rStyle w:val="FontStyle31"/>
                <w:rFonts w:ascii="Arial" w:hAnsi="Arial" w:cs="Arial"/>
              </w:rPr>
              <w:t xml:space="preserve">, </w:t>
            </w:r>
            <w:r w:rsidRPr="0048650D">
              <w:rPr>
                <w:rStyle w:val="ZnakZnakZnakZnakZnakZnak"/>
                <w:rFonts w:ascii="Arial" w:hAnsi="Arial" w:cs="Arial"/>
                <w:iCs/>
                <w:sz w:val="20"/>
                <w:szCs w:val="20"/>
              </w:rPr>
              <w:t>wartość rezydualną w analizie finansowej należy określić w oparciu o bieżącą wartość netto przepływów pieniężnych, wygenerowanych przez projekt w pozostałych latach jego trwania (życia ekonomicznego), następujących po zakończeniu okresu odniesienia, chyba, że wnioskodawca szczegółowo wskaże uzasadnienie innej metody określenia tej wartości, wynikającej ze specyfiki danej inwestycji.</w:t>
            </w:r>
          </w:p>
          <w:p w14:paraId="2262F0B6" w14:textId="77777777" w:rsidR="00DF7B03" w:rsidRPr="0048650D" w:rsidRDefault="00DF7B03" w:rsidP="00195AAF">
            <w:pPr>
              <w:pStyle w:val="Style14"/>
              <w:widowControl/>
              <w:shd w:val="clear" w:color="auto" w:fill="F2F2F2"/>
              <w:jc w:val="both"/>
              <w:rPr>
                <w:rFonts w:ascii="Arial" w:hAnsi="Arial" w:cs="Arial"/>
                <w:iCs/>
                <w:sz w:val="20"/>
                <w:szCs w:val="20"/>
              </w:rPr>
            </w:pPr>
            <w:r w:rsidRPr="0048650D">
              <w:rPr>
                <w:rStyle w:val="ZnakZnakZnakZnakZnakZnak"/>
                <w:rFonts w:ascii="Arial" w:hAnsi="Arial" w:cs="Arial"/>
                <w:iCs/>
                <w:sz w:val="20"/>
                <w:szCs w:val="20"/>
              </w:rPr>
              <w:t>Należy pamiętać, by w założeniach do analizy finansowej wskazać i uzasadnić m.in. taryfy ustalające ceny za towary lub usługi zapewniane przez projekt (o ile występują w nim przychody).</w:t>
            </w:r>
          </w:p>
        </w:tc>
      </w:tr>
    </w:tbl>
    <w:p w14:paraId="049145F8" w14:textId="77777777" w:rsidR="00DF7B03" w:rsidRPr="0048650D" w:rsidRDefault="00DF7B03" w:rsidP="00DF7B03">
      <w:pPr>
        <w:rPr>
          <w:color w:val="FF0000"/>
        </w:rPr>
      </w:pPr>
    </w:p>
    <w:p w14:paraId="5435F2FD" w14:textId="77777777" w:rsidR="00DF7B03" w:rsidRPr="0048650D" w:rsidRDefault="00DF7B03" w:rsidP="00DF7B03">
      <w:pPr>
        <w:pStyle w:val="Nagwek2"/>
        <w:ind w:firstLine="708"/>
        <w:rPr>
          <w:rFonts w:ascii="Arial" w:hAnsi="Arial" w:cs="Arial"/>
          <w:color w:val="FF0000"/>
          <w:sz w:val="20"/>
          <w:szCs w:val="20"/>
        </w:rPr>
      </w:pPr>
      <w:bookmarkStart w:id="4" w:name="_Toc492557286"/>
      <w:bookmarkStart w:id="5" w:name="_Toc492715442"/>
      <w:r>
        <w:rPr>
          <w:rFonts w:ascii="Arial" w:hAnsi="Arial" w:cs="Arial"/>
          <w:sz w:val="20"/>
          <w:szCs w:val="20"/>
        </w:rPr>
        <w:t>2.2.</w:t>
      </w:r>
      <w:r w:rsidRPr="0048650D">
        <w:rPr>
          <w:rFonts w:ascii="Arial" w:hAnsi="Arial" w:cs="Arial"/>
          <w:sz w:val="20"/>
          <w:szCs w:val="20"/>
        </w:rPr>
        <w:t xml:space="preserve"> Analiza finansowa</w:t>
      </w:r>
      <w:bookmarkEnd w:id="4"/>
      <w:bookmarkEnd w:id="5"/>
    </w:p>
    <w:p w14:paraId="34B7C115" w14:textId="77777777" w:rsidR="00DF7B03" w:rsidRPr="0048650D" w:rsidRDefault="00DF7B03" w:rsidP="00DF7B0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F7B03" w:rsidRPr="0048650D" w14:paraId="314E8A2B" w14:textId="77777777" w:rsidTr="00195AAF">
        <w:tc>
          <w:tcPr>
            <w:tcW w:w="9747" w:type="dxa"/>
            <w:shd w:val="clear" w:color="auto" w:fill="F2F2F2"/>
          </w:tcPr>
          <w:p w14:paraId="08770F0F" w14:textId="77777777" w:rsidR="00DF7B03" w:rsidRPr="0048650D" w:rsidRDefault="00DF7B03" w:rsidP="00195AAF">
            <w:pPr>
              <w:shd w:val="clear" w:color="auto" w:fill="F2F2F2"/>
              <w:rPr>
                <w:i/>
              </w:rPr>
            </w:pPr>
            <w:r w:rsidRPr="0048650D">
              <w:rPr>
                <w:i/>
              </w:rPr>
              <w:t>Informacja dla Wnioskodawcy:</w:t>
            </w:r>
          </w:p>
          <w:p w14:paraId="5A89706A" w14:textId="77777777" w:rsidR="00DF7B03" w:rsidRPr="0048650D" w:rsidRDefault="00DF7B03" w:rsidP="00195AAF">
            <w:pPr>
              <w:pStyle w:val="Style14"/>
              <w:widowControl/>
              <w:shd w:val="clear" w:color="auto" w:fill="F2F2F2"/>
              <w:jc w:val="both"/>
              <w:rPr>
                <w:rStyle w:val="FontStyle31"/>
                <w:rFonts w:ascii="Arial" w:hAnsi="Arial" w:cs="Arial"/>
                <w:i/>
              </w:rPr>
            </w:pPr>
            <w:r w:rsidRPr="0048650D">
              <w:rPr>
                <w:rStyle w:val="ZnakZnakZnakZnakZnakZnak"/>
                <w:rFonts w:ascii="Arial" w:hAnsi="Arial" w:cs="Arial"/>
                <w:iCs/>
                <w:sz w:val="20"/>
                <w:szCs w:val="20"/>
              </w:rPr>
              <w:t xml:space="preserve">Analiza powinna być zamieszczona wyłącznie w wersji elektronicznej, w arkuszu kalkulacyjnym </w:t>
            </w:r>
            <w:r w:rsidRPr="0048650D">
              <w:rPr>
                <w:rStyle w:val="ZnakZnakZnakZnakZnakZnak"/>
                <w:rFonts w:ascii="Arial" w:hAnsi="Arial" w:cs="Arial"/>
                <w:iCs/>
                <w:sz w:val="20"/>
                <w:szCs w:val="20"/>
              </w:rPr>
              <w:br/>
              <w:t xml:space="preserve">w formacie XLS lub równoważnym zawierającym jawne (nie ukryte) i działające formuły </w:t>
            </w:r>
            <w:r w:rsidRPr="0048650D">
              <w:rPr>
                <w:rStyle w:val="ZnakZnakZnakZnakZnakZnak"/>
                <w:rFonts w:ascii="Arial" w:hAnsi="Arial" w:cs="Arial"/>
                <w:iCs/>
                <w:sz w:val="20"/>
                <w:szCs w:val="20"/>
              </w:rPr>
              <w:lastRenderedPageBreak/>
              <w:t>przedstawiające przeprowadzone analizy i ich wyniki. Analiza finansowania powinna zostać przeprowadzona zgodnie zapisami Rozdziału 7. Wytycznych PGD i PH.</w:t>
            </w:r>
          </w:p>
          <w:p w14:paraId="65AA74A9" w14:textId="77777777" w:rsidR="00DF7B03" w:rsidRPr="0048650D" w:rsidRDefault="00DF7B03" w:rsidP="00195AAF">
            <w:pPr>
              <w:shd w:val="clear" w:color="auto" w:fill="F2F2F2"/>
              <w:jc w:val="both"/>
              <w:rPr>
                <w:rStyle w:val="ZnakZnakZnakZnakZnakZnak"/>
                <w:iCs/>
              </w:rPr>
            </w:pPr>
            <w:r w:rsidRPr="0048650D">
              <w:rPr>
                <w:rStyle w:val="ZnakZnakZnakZnakZnakZnak"/>
                <w:iCs/>
              </w:rPr>
              <w:t xml:space="preserve">W ramach analizy finansowej zgodnie z Wytycznymi PGD i PH należy przeprowadzić m.in. następujące działania: </w:t>
            </w:r>
          </w:p>
          <w:p w14:paraId="574A75A6" w14:textId="77777777" w:rsidR="00DF7B03" w:rsidRPr="0048650D" w:rsidRDefault="00DF7B03" w:rsidP="00195AAF">
            <w:pPr>
              <w:widowControl/>
              <w:numPr>
                <w:ilvl w:val="0"/>
                <w:numId w:val="1"/>
              </w:numPr>
              <w:jc w:val="both"/>
              <w:rPr>
                <w:rStyle w:val="ZnakZnakZnakZnakZnakZnak"/>
                <w:iCs/>
              </w:rPr>
            </w:pPr>
            <w:r w:rsidRPr="0048650D">
              <w:rPr>
                <w:rStyle w:val="ZnakZnakZnakZnakZnakZnak"/>
                <w:iCs/>
              </w:rPr>
              <w:t xml:space="preserve">określenie założeń do analizy finansowej, </w:t>
            </w:r>
          </w:p>
          <w:p w14:paraId="5E903D9D" w14:textId="77777777" w:rsidR="00DF7B03" w:rsidRPr="0048650D" w:rsidRDefault="00DF7B03" w:rsidP="00195AAF">
            <w:pPr>
              <w:widowControl/>
              <w:numPr>
                <w:ilvl w:val="0"/>
                <w:numId w:val="1"/>
              </w:numPr>
              <w:jc w:val="both"/>
              <w:rPr>
                <w:rStyle w:val="ZnakZnakZnakZnakZnakZnak"/>
                <w:iCs/>
              </w:rPr>
            </w:pPr>
            <w:r w:rsidRPr="0048650D">
              <w:rPr>
                <w:rStyle w:val="ZnakZnakZnakZnakZnakZnak"/>
                <w:iCs/>
              </w:rPr>
              <w:t xml:space="preserve">ustalenie, czy projekt generuje przychód oraz czy istnieje możliwość jego obiektywnego określenia z wyprzedzeniem, </w:t>
            </w:r>
          </w:p>
          <w:p w14:paraId="5E98A7D8" w14:textId="77777777" w:rsidR="00DF7B03" w:rsidRPr="0048650D" w:rsidRDefault="00DF7B03" w:rsidP="00195AAF">
            <w:pPr>
              <w:widowControl/>
              <w:numPr>
                <w:ilvl w:val="0"/>
                <w:numId w:val="1"/>
              </w:numPr>
              <w:jc w:val="both"/>
              <w:rPr>
                <w:rStyle w:val="ZnakZnakZnakZnakZnakZnak"/>
                <w:iCs/>
              </w:rPr>
            </w:pPr>
            <w:r w:rsidRPr="0048650D">
              <w:rPr>
                <w:rStyle w:val="ZnakZnakZnakZnakZnakZnak"/>
                <w:iCs/>
              </w:rPr>
              <w:t>ustalenie, czy projekt generuje oszczędności kosztów operacyjnych,</w:t>
            </w:r>
          </w:p>
          <w:p w14:paraId="216BF452" w14:textId="77777777" w:rsidR="00DF7B03" w:rsidRPr="0048650D" w:rsidRDefault="00DF7B03" w:rsidP="00195AAF">
            <w:pPr>
              <w:widowControl/>
              <w:numPr>
                <w:ilvl w:val="0"/>
                <w:numId w:val="1"/>
              </w:numPr>
              <w:jc w:val="both"/>
              <w:rPr>
                <w:rStyle w:val="ZnakZnakZnakZnakZnakZnak"/>
                <w:iCs/>
              </w:rPr>
            </w:pPr>
            <w:r w:rsidRPr="0048650D">
              <w:rPr>
                <w:rStyle w:val="ZnakZnakZnakZnakZnakZnak"/>
                <w:iCs/>
              </w:rPr>
              <w:t xml:space="preserve">zestawienie przepływów pieniężnych projektu dla każdego roku analizy, </w:t>
            </w:r>
          </w:p>
          <w:p w14:paraId="4588A204" w14:textId="77777777" w:rsidR="00DF7B03" w:rsidRPr="0048650D" w:rsidRDefault="00DF7B03" w:rsidP="00195AAF">
            <w:pPr>
              <w:widowControl/>
              <w:numPr>
                <w:ilvl w:val="0"/>
                <w:numId w:val="1"/>
              </w:numPr>
              <w:jc w:val="both"/>
              <w:rPr>
                <w:rStyle w:val="ZnakZnakZnakZnakZnakZnak"/>
                <w:iCs/>
              </w:rPr>
            </w:pPr>
            <w:r w:rsidRPr="0048650D">
              <w:rPr>
                <w:rStyle w:val="ZnakZnakZnakZnakZnakZnak"/>
                <w:iCs/>
              </w:rPr>
              <w:t xml:space="preserve">ustalenie, czy wartość bieżąca przychodów generowanych przez projekt przekracza wartość bieżącą kosztów operacyjnych, tzn. czy projekt jest projektem generującym dochód – dotyczy projektów, dla których istnieje możliwość obiektywnego określenia przychodu </w:t>
            </w:r>
            <w:r w:rsidRPr="0048650D">
              <w:rPr>
                <w:rStyle w:val="ZnakZnakZnakZnakZnakZnak"/>
                <w:iCs/>
              </w:rPr>
              <w:br/>
              <w:t xml:space="preserve">z wyprzedzeniem (patrz: Rozdział 2 Wytycznych PGD i PH, definicja projektów generujących dochód oraz podrozdziały 8.2 i 8.3), </w:t>
            </w:r>
          </w:p>
          <w:p w14:paraId="25BC3E15" w14:textId="77777777" w:rsidR="00DF7B03" w:rsidRPr="0048650D" w:rsidRDefault="00DF7B03" w:rsidP="00195AAF">
            <w:pPr>
              <w:widowControl/>
              <w:numPr>
                <w:ilvl w:val="0"/>
                <w:numId w:val="1"/>
              </w:numPr>
              <w:jc w:val="both"/>
              <w:rPr>
                <w:rStyle w:val="ZnakZnakZnakZnakZnakZnak"/>
                <w:iCs/>
              </w:rPr>
            </w:pPr>
            <w:r w:rsidRPr="0048650D">
              <w:rPr>
                <w:rStyle w:val="ZnakZnakZnakZnakZnakZnak"/>
                <w:iCs/>
              </w:rPr>
              <w:t xml:space="preserve">ustalenie poziomu dofinansowania projektu z funduszy UE w oparciu o metodę luki </w:t>
            </w:r>
            <w:r w:rsidRPr="0048650D">
              <w:rPr>
                <w:rStyle w:val="ZnakZnakZnakZnakZnakZnak"/>
                <w:iCs/>
              </w:rPr>
              <w:br/>
              <w:t xml:space="preserve">w finansowaniu lub poprzez zastosowanie zryczałtowanych procentowych stawek dochodów (dotyczy projektów generujących dochód, dla których istnieje możliwość obiektywnego określenia przychodu z wyprzedzeniem), </w:t>
            </w:r>
          </w:p>
          <w:p w14:paraId="41A6822C" w14:textId="77777777" w:rsidR="00DF7B03" w:rsidRPr="0048650D" w:rsidRDefault="00DF7B03" w:rsidP="00195AAF">
            <w:pPr>
              <w:ind w:left="720"/>
              <w:jc w:val="both"/>
              <w:rPr>
                <w:rStyle w:val="ZnakZnakZnakZnakZnakZnak"/>
                <w:iCs/>
              </w:rPr>
            </w:pPr>
            <w:r w:rsidRPr="0048650D">
              <w:rPr>
                <w:rStyle w:val="ZnakZnakZnakZnakZnakZnak"/>
                <w:iCs/>
              </w:rPr>
              <w:t xml:space="preserve">Dla projektów nie generujących dochodu w rozumieniu art. 61 ust. 1 rozporządzenia </w:t>
            </w:r>
            <w:r w:rsidRPr="0048650D">
              <w:rPr>
                <w:rStyle w:val="ZnakZnakZnakZnakZnakZnak"/>
                <w:iCs/>
              </w:rPr>
              <w:br/>
              <w:t xml:space="preserve">ogólnego, dla projektów generujących dochód w rozumieniu art. 61 ust. 6 rozporządzenia ogólnego, dla których nie ma możliwości obiektywnego określenia przychodu </w:t>
            </w:r>
            <w:r w:rsidRPr="0048650D">
              <w:rPr>
                <w:rStyle w:val="ZnakZnakZnakZnakZnakZnak"/>
                <w:iCs/>
              </w:rPr>
              <w:br/>
              <w:t xml:space="preserve">z wyprzedzeniem, a także dla projektów generujących dochód w czasie ich wdrażania </w:t>
            </w:r>
            <w:r w:rsidRPr="0048650D">
              <w:rPr>
                <w:rStyle w:val="ZnakZnakZnakZnakZnakZnak"/>
                <w:iCs/>
              </w:rPr>
              <w:br/>
              <w:t xml:space="preserve">i do których nie mają zastosowania przepisy art. 61 ust. 1-6, dofinansowanie UE ustalane jest na ogólnych zasadach określonych przez IZ RPO.  </w:t>
            </w:r>
          </w:p>
          <w:p w14:paraId="2BDCA3F5" w14:textId="77777777" w:rsidR="00DF7B03" w:rsidRPr="0048650D" w:rsidRDefault="00DF7B03" w:rsidP="00195AAF">
            <w:pPr>
              <w:widowControl/>
              <w:numPr>
                <w:ilvl w:val="0"/>
                <w:numId w:val="1"/>
              </w:numPr>
              <w:jc w:val="both"/>
              <w:rPr>
                <w:rStyle w:val="ZnakZnakZnakZnakZnakZnak"/>
                <w:iCs/>
              </w:rPr>
            </w:pPr>
            <w:r w:rsidRPr="0048650D">
              <w:rPr>
                <w:rStyle w:val="ZnakZnakZnakZnakZnakZnak"/>
                <w:iCs/>
              </w:rPr>
              <w:t xml:space="preserve">określenie źródeł finansowania projektu, </w:t>
            </w:r>
          </w:p>
          <w:p w14:paraId="4A8ABCE7" w14:textId="77777777" w:rsidR="00DF7B03" w:rsidRPr="0048650D" w:rsidRDefault="00DF7B03" w:rsidP="00195AAF">
            <w:pPr>
              <w:widowControl/>
              <w:numPr>
                <w:ilvl w:val="0"/>
                <w:numId w:val="1"/>
              </w:numPr>
              <w:jc w:val="both"/>
              <w:rPr>
                <w:rStyle w:val="ZnakZnakZnakZnakZnakZnak"/>
                <w:iCs/>
              </w:rPr>
            </w:pPr>
            <w:r w:rsidRPr="0048650D">
              <w:rPr>
                <w:rStyle w:val="ZnakZnakZnakZnakZnakZnak"/>
                <w:iCs/>
              </w:rPr>
              <w:t xml:space="preserve">ustalenie wartości wskaźników efektywności finansowej projektu, </w:t>
            </w:r>
          </w:p>
          <w:p w14:paraId="477DCE06" w14:textId="77777777" w:rsidR="00DF7B03" w:rsidRPr="0048650D" w:rsidRDefault="00DF7B03" w:rsidP="00195AAF">
            <w:pPr>
              <w:widowControl/>
              <w:numPr>
                <w:ilvl w:val="0"/>
                <w:numId w:val="1"/>
              </w:numPr>
              <w:shd w:val="clear" w:color="auto" w:fill="F2F2F2"/>
              <w:jc w:val="both"/>
              <w:rPr>
                <w:rStyle w:val="ZnakZnakZnakZnakZnakZnak"/>
                <w:iCs/>
              </w:rPr>
            </w:pPr>
            <w:r w:rsidRPr="0048650D">
              <w:rPr>
                <w:rStyle w:val="ZnakZnakZnakZnakZnakZnak"/>
                <w:iCs/>
              </w:rPr>
              <w:t xml:space="preserve">analizę finansowej trwałości. </w:t>
            </w:r>
          </w:p>
          <w:p w14:paraId="4055896E" w14:textId="77777777" w:rsidR="00DF7B03" w:rsidRPr="0048650D" w:rsidRDefault="00DF7B03" w:rsidP="00195AAF">
            <w:pPr>
              <w:pStyle w:val="Style14"/>
              <w:widowControl/>
              <w:shd w:val="clear" w:color="auto" w:fill="F2F2F2"/>
              <w:jc w:val="both"/>
              <w:rPr>
                <w:rStyle w:val="FontStyle31"/>
                <w:rFonts w:ascii="Arial" w:hAnsi="Arial" w:cs="Arial"/>
                <w:bCs/>
              </w:rPr>
            </w:pPr>
            <w:r w:rsidRPr="0048650D">
              <w:rPr>
                <w:rStyle w:val="ZnakZnakZnakZnakZnakZnak"/>
                <w:rFonts w:ascii="Arial" w:hAnsi="Arial" w:cs="Arial"/>
                <w:iCs/>
                <w:sz w:val="20"/>
                <w:szCs w:val="20"/>
              </w:rPr>
              <w:t xml:space="preserve">W wersji papierowej Studium wykonalności w sekcji D.2. należy </w:t>
            </w:r>
            <w:r w:rsidRPr="0048650D">
              <w:rPr>
                <w:rStyle w:val="ZnakZnakZnakZnakZnakZnak"/>
                <w:rFonts w:ascii="Arial" w:hAnsi="Arial" w:cs="Arial"/>
                <w:iCs/>
                <w:sz w:val="20"/>
                <w:szCs w:val="20"/>
                <w:u w:val="single"/>
              </w:rPr>
              <w:t>przedstawić zbiorcze zestawienie najważniejszych wyników otrzymanych z analizy przedstawionej w arkuszu kalkulacyjnym</w:t>
            </w:r>
            <w:r w:rsidRPr="0048650D">
              <w:rPr>
                <w:rStyle w:val="ZnakZnakZnakZnakZnakZnak"/>
                <w:rFonts w:ascii="Arial" w:hAnsi="Arial" w:cs="Arial"/>
                <w:iCs/>
                <w:sz w:val="20"/>
                <w:szCs w:val="20"/>
              </w:rPr>
              <w:t xml:space="preserve">. Należy tu przede wszystkim wskazać, jaka została ustalona maksymalna wysokość dofinansowania oraz podać wskaźniki finansowej efektywności projektu wraz z interpretacją. W sekcji D.2. należy również wskazać: Czy projekt generuje dochód w rozumieniu zapisów art. 61 </w:t>
            </w:r>
            <w:r w:rsidRPr="0048650D">
              <w:rPr>
                <w:rFonts w:ascii="Arial" w:eastAsia="SimSun" w:hAnsi="Arial" w:cs="Arial"/>
                <w:sz w:val="20"/>
                <w:szCs w:val="20"/>
                <w:lang w:eastAsia="zh-CN"/>
              </w:rPr>
              <w:t>Rozporządzenia ogólnego</w:t>
            </w:r>
            <w:r w:rsidRPr="0048650D">
              <w:rPr>
                <w:rStyle w:val="FontStyle31"/>
                <w:rFonts w:ascii="Arial" w:hAnsi="Arial" w:cs="Arial"/>
                <w:bCs/>
              </w:rPr>
              <w:t>?</w:t>
            </w:r>
          </w:p>
          <w:p w14:paraId="2C862537" w14:textId="77777777" w:rsidR="00DF7B03" w:rsidRPr="0048650D" w:rsidRDefault="00DF7B03" w:rsidP="00195AAF">
            <w:pPr>
              <w:pStyle w:val="Style14"/>
              <w:widowControl/>
              <w:shd w:val="clear" w:color="auto" w:fill="F2F2F2"/>
              <w:jc w:val="both"/>
              <w:rPr>
                <w:rFonts w:ascii="Arial" w:hAnsi="Arial" w:cs="Arial"/>
                <w:iCs/>
                <w:sz w:val="20"/>
                <w:szCs w:val="20"/>
              </w:rPr>
            </w:pPr>
            <w:r w:rsidRPr="0048650D">
              <w:rPr>
                <w:rStyle w:val="FontStyle31"/>
                <w:rFonts w:ascii="Arial" w:hAnsi="Arial" w:cs="Arial"/>
                <w:b/>
              </w:rPr>
              <w:t>Uwaga!</w:t>
            </w:r>
            <w:r w:rsidRPr="0048650D">
              <w:rPr>
                <w:rStyle w:val="FontStyle31"/>
                <w:rFonts w:ascii="Arial" w:hAnsi="Arial" w:cs="Arial"/>
              </w:rPr>
              <w:t xml:space="preserve"> Definicja dochodu wynikająca z ww. aktu prawnego </w:t>
            </w:r>
            <w:r w:rsidRPr="0048650D">
              <w:rPr>
                <w:rFonts w:ascii="Arial" w:hAnsi="Arial" w:cs="Arial"/>
                <w:sz w:val="20"/>
                <w:szCs w:val="20"/>
              </w:rPr>
              <w:t>jest inna niż definicja dochodu wynikająca z przepisów o rachunkowości czy przepisów podatkowych. W związku z powyższym należy szczegółowo zapoznać się z zapisami ww. rozporządzenia oraz Wytycznymi PGD i PH (definicja „dochodu” i „projektów generujących dochód” w „Słowniku stosowanych pojęć”).</w:t>
            </w:r>
          </w:p>
        </w:tc>
      </w:tr>
    </w:tbl>
    <w:p w14:paraId="2D176FA2" w14:textId="77777777" w:rsidR="00DF7B03" w:rsidRPr="0048650D" w:rsidRDefault="00DF7B03" w:rsidP="00DF7B03">
      <w:pPr>
        <w:rPr>
          <w:color w:val="FF0000"/>
        </w:rPr>
      </w:pPr>
    </w:p>
    <w:p w14:paraId="772275C9" w14:textId="77777777" w:rsidR="00DF7B03" w:rsidRPr="0048650D" w:rsidRDefault="00DF7B03" w:rsidP="00DF7B03">
      <w:pPr>
        <w:pStyle w:val="Nagwek1"/>
        <w:ind w:firstLine="708"/>
        <w:rPr>
          <w:sz w:val="20"/>
          <w:szCs w:val="20"/>
        </w:rPr>
      </w:pPr>
      <w:bookmarkStart w:id="6" w:name="_Toc492557287"/>
      <w:bookmarkStart w:id="7" w:name="_Toc492715443"/>
      <w:r>
        <w:rPr>
          <w:sz w:val="20"/>
          <w:szCs w:val="20"/>
        </w:rPr>
        <w:t xml:space="preserve">2.3 </w:t>
      </w:r>
      <w:r w:rsidRPr="0048650D">
        <w:rPr>
          <w:sz w:val="20"/>
          <w:szCs w:val="20"/>
        </w:rPr>
        <w:t xml:space="preserve"> Analiza kosztów i korzyści</w:t>
      </w:r>
      <w:bookmarkEnd w:id="6"/>
      <w:bookmarkEnd w:id="7"/>
    </w:p>
    <w:p w14:paraId="000D9B5B" w14:textId="77777777" w:rsidR="00DF7B03" w:rsidRPr="0048650D" w:rsidRDefault="00DF7B03" w:rsidP="00DF7B0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F7B03" w:rsidRPr="0048650D" w14:paraId="3CC568F4" w14:textId="77777777" w:rsidTr="00195AAF">
        <w:tc>
          <w:tcPr>
            <w:tcW w:w="9747" w:type="dxa"/>
            <w:shd w:val="clear" w:color="auto" w:fill="F2F2F2"/>
          </w:tcPr>
          <w:p w14:paraId="250DA4F0" w14:textId="77777777" w:rsidR="00DF7B03" w:rsidRPr="0048650D" w:rsidRDefault="00DF7B03" w:rsidP="00195AAF">
            <w:pPr>
              <w:rPr>
                <w:i/>
              </w:rPr>
            </w:pPr>
            <w:r w:rsidRPr="0048650D">
              <w:rPr>
                <w:i/>
              </w:rPr>
              <w:t>Informacja dla Wnioskodawcy:</w:t>
            </w:r>
          </w:p>
          <w:p w14:paraId="177D4B7B" w14:textId="77777777" w:rsidR="00DF7B03" w:rsidRPr="0048650D" w:rsidRDefault="00DF7B03" w:rsidP="00195AAF">
            <w:pPr>
              <w:pStyle w:val="Style9"/>
              <w:widowControl/>
              <w:shd w:val="clear" w:color="auto" w:fill="F2F2F2"/>
              <w:tabs>
                <w:tab w:val="left" w:pos="3969"/>
              </w:tabs>
              <w:spacing w:line="240" w:lineRule="auto"/>
              <w:rPr>
                <w:rFonts w:ascii="Arial" w:hAnsi="Arial" w:cs="Arial"/>
                <w:i/>
                <w:sz w:val="20"/>
                <w:szCs w:val="20"/>
              </w:rPr>
            </w:pPr>
            <w:r w:rsidRPr="0048650D">
              <w:rPr>
                <w:rStyle w:val="ZnakZnakZnakZnakZnakZnak"/>
                <w:rFonts w:ascii="Arial" w:hAnsi="Arial" w:cs="Arial"/>
                <w:iCs/>
                <w:sz w:val="20"/>
                <w:szCs w:val="20"/>
              </w:rPr>
              <w:tab/>
              <w:t>Sposób przeprowadzenia analizy kosztów i korzyści dla projektu został opisany w Rozdziale 9. Wytycznych PGD i PH</w:t>
            </w:r>
            <w:r w:rsidRPr="0048650D">
              <w:rPr>
                <w:rStyle w:val="FontStyle31"/>
                <w:rFonts w:ascii="Arial" w:hAnsi="Arial" w:cs="Arial"/>
                <w:i/>
              </w:rPr>
              <w:t xml:space="preserve">. </w:t>
            </w:r>
            <w:r w:rsidRPr="0048650D">
              <w:rPr>
                <w:rStyle w:val="ZnakZnakZnakZnakZnakZnak"/>
                <w:rFonts w:ascii="Arial" w:hAnsi="Arial" w:cs="Arial"/>
                <w:iCs/>
                <w:sz w:val="20"/>
                <w:szCs w:val="20"/>
              </w:rPr>
              <w:t>IZ RPO nie przewiduje konieczności przeprowadzenia analizy kosztów i korzyści w pełnym zakresie (zgodnie z Podrozdziałem 9.2. powyższych wytycznych) dla projektów niezaliczanych do projektów dużych. W przypadku projektu, który nie jest „duży", należy wymienić i opisać wszystkie istotne środowiskowe, gospodarcze i społeczne efekty projektu oraz - jeśli to możliwe zaprezentować je w kategoriach ilościowych.</w:t>
            </w:r>
          </w:p>
        </w:tc>
      </w:tr>
    </w:tbl>
    <w:p w14:paraId="7C58261D" w14:textId="77777777" w:rsidR="00DF7B03" w:rsidRPr="0048650D" w:rsidRDefault="00DF7B03" w:rsidP="00DF7B03">
      <w:pPr>
        <w:rPr>
          <w:color w:val="FF0000"/>
        </w:rPr>
      </w:pPr>
    </w:p>
    <w:p w14:paraId="5CBB1FB1" w14:textId="77777777" w:rsidR="00DF7B03" w:rsidRPr="0048650D" w:rsidRDefault="00DF7B03" w:rsidP="00DF7B03">
      <w:pPr>
        <w:pStyle w:val="Nagwek1"/>
        <w:ind w:firstLine="708"/>
        <w:rPr>
          <w:color w:val="FF0000"/>
          <w:sz w:val="20"/>
          <w:szCs w:val="20"/>
        </w:rPr>
      </w:pPr>
      <w:bookmarkStart w:id="8" w:name="_Toc492557288"/>
      <w:bookmarkStart w:id="9" w:name="_Toc492715444"/>
      <w:r>
        <w:rPr>
          <w:sz w:val="20"/>
          <w:szCs w:val="20"/>
        </w:rPr>
        <w:t xml:space="preserve">2.4 </w:t>
      </w:r>
      <w:r w:rsidRPr="0048650D">
        <w:rPr>
          <w:sz w:val="20"/>
          <w:szCs w:val="20"/>
        </w:rPr>
        <w:t xml:space="preserve"> Analiza ryzyka i wrażliwości (tylko dla dużych projektów)</w:t>
      </w:r>
      <w:bookmarkEnd w:id="8"/>
      <w:bookmarkEnd w:id="9"/>
    </w:p>
    <w:p w14:paraId="11BBBE91" w14:textId="77777777" w:rsidR="00DF7B03" w:rsidRPr="0048650D" w:rsidRDefault="00DF7B03" w:rsidP="00DF7B0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F7B03" w:rsidRPr="0048650D" w14:paraId="24123585" w14:textId="77777777" w:rsidTr="00195AAF">
        <w:tc>
          <w:tcPr>
            <w:tcW w:w="9747" w:type="dxa"/>
            <w:shd w:val="clear" w:color="auto" w:fill="F2F2F2"/>
          </w:tcPr>
          <w:p w14:paraId="6A8A7E6A" w14:textId="77777777" w:rsidR="00DF7B03" w:rsidRPr="0048650D" w:rsidRDefault="00DF7B03" w:rsidP="00195AAF">
            <w:pPr>
              <w:rPr>
                <w:rStyle w:val="ZnakZnakZnakZnakZnakZnak"/>
                <w:i/>
              </w:rPr>
            </w:pPr>
            <w:r w:rsidRPr="0048650D">
              <w:rPr>
                <w:i/>
              </w:rPr>
              <w:t>Informacja dla Wnioskodawcy:</w:t>
            </w:r>
          </w:p>
          <w:p w14:paraId="5E209C1F" w14:textId="77777777" w:rsidR="00DF7B03" w:rsidRPr="0048650D" w:rsidRDefault="00DF7B03" w:rsidP="00195AAF">
            <w:pPr>
              <w:pStyle w:val="Style9"/>
              <w:widowControl/>
              <w:shd w:val="clear" w:color="auto" w:fill="F2F2F2"/>
              <w:spacing w:line="240" w:lineRule="auto"/>
              <w:ind w:firstLine="0"/>
              <w:rPr>
                <w:rFonts w:ascii="Arial" w:hAnsi="Arial" w:cs="Arial"/>
                <w:i/>
                <w:sz w:val="20"/>
                <w:szCs w:val="20"/>
              </w:rPr>
            </w:pPr>
            <w:r w:rsidRPr="0048650D">
              <w:rPr>
                <w:rStyle w:val="ZnakZnakZnakZnakZnakZnak"/>
                <w:rFonts w:ascii="Arial" w:hAnsi="Arial" w:cs="Arial"/>
                <w:iCs/>
                <w:sz w:val="20"/>
                <w:szCs w:val="20"/>
              </w:rPr>
              <w:t>Sposób przeprowadzenia analizy ryzyka i wrażliwości dla projektu został opisany w Rozdziale 10. Wytycznych PGD i PH</w:t>
            </w:r>
            <w:r w:rsidRPr="0048650D">
              <w:rPr>
                <w:rStyle w:val="FontStyle31"/>
                <w:rFonts w:ascii="Arial" w:hAnsi="Arial" w:cs="Arial"/>
                <w:i/>
              </w:rPr>
              <w:t xml:space="preserve">. </w:t>
            </w:r>
            <w:r w:rsidRPr="0048650D">
              <w:rPr>
                <w:rStyle w:val="ZnakZnakZnakZnakZnakZnak"/>
                <w:rFonts w:ascii="Arial" w:hAnsi="Arial" w:cs="Arial"/>
                <w:iCs/>
                <w:sz w:val="20"/>
                <w:szCs w:val="20"/>
              </w:rPr>
              <w:t>W przypadku projektów niebędących dużymi projektami, analiza ryzyka i wrażliwości nie jest wymagana.</w:t>
            </w:r>
          </w:p>
        </w:tc>
      </w:tr>
    </w:tbl>
    <w:p w14:paraId="699BE423" w14:textId="77777777" w:rsidR="00DF7B03" w:rsidRPr="0048650D" w:rsidRDefault="00DF7B03" w:rsidP="00DF7B03"/>
    <w:p w14:paraId="1C8C1518" w14:textId="77777777" w:rsidR="00DF7B03" w:rsidRPr="0048650D" w:rsidRDefault="00DF7B03" w:rsidP="00DF7B03"/>
    <w:p w14:paraId="4511EF4B" w14:textId="77777777" w:rsidR="00DF7B03" w:rsidRPr="00623BD3" w:rsidRDefault="00DF7B03" w:rsidP="00DF7B03">
      <w:pPr>
        <w:spacing w:line="360" w:lineRule="auto"/>
      </w:pPr>
      <w:r w:rsidRPr="00623BD3">
        <w:t xml:space="preserve">Wytyczne w zakresie zagadnień związanych z przygotowaniem projektów inwestycyjnych, w tym projektów generujących dochód stanowią </w:t>
      </w:r>
      <w:r w:rsidRPr="00623BD3">
        <w:rPr>
          <w:b/>
          <w:bCs/>
        </w:rPr>
        <w:t>załącznik nr 2</w:t>
      </w:r>
      <w:r w:rsidRPr="00623BD3">
        <w:t xml:space="preserve"> do niniejszego zapytania ofertowego</w:t>
      </w:r>
      <w:r>
        <w:t>.</w:t>
      </w:r>
      <w:r w:rsidRPr="00623BD3">
        <w:t xml:space="preserve"> </w:t>
      </w:r>
    </w:p>
    <w:p w14:paraId="5C15E537" w14:textId="77777777" w:rsidR="00DF7B03" w:rsidRDefault="00DF7B03" w:rsidP="00DF7B03">
      <w:pPr>
        <w:rPr>
          <w:b/>
          <w:bCs/>
        </w:rPr>
      </w:pPr>
    </w:p>
    <w:p w14:paraId="4F074812" w14:textId="77777777" w:rsidR="00DF7B03" w:rsidRPr="0048650D" w:rsidRDefault="00DF7B03" w:rsidP="00DF7B03">
      <w:pPr>
        <w:pStyle w:val="Akapitzlist"/>
        <w:numPr>
          <w:ilvl w:val="0"/>
          <w:numId w:val="2"/>
        </w:numPr>
        <w:spacing w:line="276" w:lineRule="auto"/>
        <w:jc w:val="both"/>
        <w:rPr>
          <w:b/>
        </w:rPr>
      </w:pPr>
      <w:r w:rsidRPr="0048650D">
        <w:rPr>
          <w:b/>
        </w:rPr>
        <w:lastRenderedPageBreak/>
        <w:t>Kryteria wyboru oferty:</w:t>
      </w:r>
    </w:p>
    <w:p w14:paraId="6564B341" w14:textId="77777777" w:rsidR="00DF7B03" w:rsidRPr="006225A7" w:rsidRDefault="00DF7B03" w:rsidP="00DF7B03">
      <w:pPr>
        <w:spacing w:line="276" w:lineRule="auto"/>
        <w:jc w:val="both"/>
      </w:pPr>
      <w:r w:rsidRPr="006225A7">
        <w:t>Cena 100%.</w:t>
      </w:r>
    </w:p>
    <w:p w14:paraId="633DA0D9" w14:textId="77777777" w:rsidR="00DF7B03" w:rsidRPr="006225A7" w:rsidRDefault="00DF7B03" w:rsidP="00DF7B03">
      <w:pPr>
        <w:spacing w:line="276" w:lineRule="auto"/>
        <w:jc w:val="both"/>
      </w:pPr>
    </w:p>
    <w:p w14:paraId="4E5095AC" w14:textId="77777777" w:rsidR="00DF7B03" w:rsidRPr="006225A7" w:rsidRDefault="00DF7B03" w:rsidP="00DF7B03">
      <w:pPr>
        <w:pStyle w:val="Akapitzlist"/>
        <w:numPr>
          <w:ilvl w:val="0"/>
          <w:numId w:val="2"/>
        </w:numPr>
        <w:spacing w:line="276" w:lineRule="auto"/>
        <w:jc w:val="both"/>
        <w:rPr>
          <w:b/>
        </w:rPr>
      </w:pPr>
      <w:r w:rsidRPr="006225A7">
        <w:rPr>
          <w:b/>
        </w:rPr>
        <w:t xml:space="preserve">Termin wykonania </w:t>
      </w:r>
      <w:r>
        <w:rPr>
          <w:b/>
        </w:rPr>
        <w:t>przedmiotu zamówienia</w:t>
      </w:r>
      <w:r w:rsidRPr="006225A7">
        <w:rPr>
          <w:b/>
        </w:rPr>
        <w:t>:</w:t>
      </w:r>
    </w:p>
    <w:p w14:paraId="048AD675" w14:textId="77777777" w:rsidR="00DF7B03" w:rsidRPr="006225A7" w:rsidRDefault="00DF7B03" w:rsidP="00DF7B03">
      <w:pPr>
        <w:spacing w:line="276" w:lineRule="auto"/>
        <w:jc w:val="both"/>
      </w:pPr>
      <w:r w:rsidRPr="006225A7">
        <w:t xml:space="preserve">W terminie </w:t>
      </w:r>
      <w:r>
        <w:t>7</w:t>
      </w:r>
      <w:r w:rsidRPr="006225A7">
        <w:t xml:space="preserve"> </w:t>
      </w:r>
      <w:r>
        <w:t>dni</w:t>
      </w:r>
      <w:r w:rsidRPr="006225A7">
        <w:t xml:space="preserve"> od podpisania umowy </w:t>
      </w:r>
    </w:p>
    <w:p w14:paraId="5D51FA5A" w14:textId="77777777" w:rsidR="00DF7B03" w:rsidRPr="006225A7" w:rsidRDefault="00DF7B03" w:rsidP="00DF7B03">
      <w:pPr>
        <w:spacing w:line="276" w:lineRule="auto"/>
        <w:jc w:val="both"/>
      </w:pPr>
    </w:p>
    <w:p w14:paraId="2CFE4336" w14:textId="77777777" w:rsidR="00DF7B03" w:rsidRPr="006225A7" w:rsidRDefault="00DF7B03" w:rsidP="00DF7B03">
      <w:pPr>
        <w:pStyle w:val="Akapitzlist"/>
        <w:numPr>
          <w:ilvl w:val="0"/>
          <w:numId w:val="2"/>
        </w:numPr>
        <w:spacing w:line="276" w:lineRule="auto"/>
        <w:jc w:val="both"/>
        <w:rPr>
          <w:b/>
        </w:rPr>
      </w:pPr>
      <w:r w:rsidRPr="006225A7">
        <w:rPr>
          <w:b/>
        </w:rPr>
        <w:t>Termin składania ofert:</w:t>
      </w:r>
    </w:p>
    <w:p w14:paraId="31653367" w14:textId="77777777" w:rsidR="00DF7B03" w:rsidRPr="006225A7" w:rsidRDefault="00DF7B03" w:rsidP="00DF7B03">
      <w:pPr>
        <w:spacing w:line="276" w:lineRule="auto"/>
        <w:jc w:val="both"/>
      </w:pPr>
      <w:r w:rsidRPr="006225A7">
        <w:t xml:space="preserve">Oferty należy składać w siedzibie URBITOR Spółka z ograniczoną odpowiedzialnością z siedzibą w Toruniu, ul. Chrobrego 105/107, 87-100 Toruń lub przesłać mailowo na adres </w:t>
      </w:r>
      <w:hyperlink r:id="rId5" w:history="1">
        <w:r w:rsidRPr="00277A68">
          <w:rPr>
            <w:rStyle w:val="Hipercze"/>
          </w:rPr>
          <w:t>sekretariat@urbitor.pl</w:t>
        </w:r>
      </w:hyperlink>
      <w:r w:rsidRPr="006225A7">
        <w:t xml:space="preserve"> w terminie do dnia </w:t>
      </w:r>
      <w:r>
        <w:t xml:space="preserve">19 czerwca </w:t>
      </w:r>
      <w:r w:rsidRPr="006225A7">
        <w:t>2020 r. do godziny 1</w:t>
      </w:r>
      <w:r>
        <w:t>0</w:t>
      </w:r>
      <w:r w:rsidRPr="006225A7">
        <w:t>:00.</w:t>
      </w:r>
    </w:p>
    <w:p w14:paraId="1271C685" w14:textId="77777777" w:rsidR="00DF7B03" w:rsidRPr="006225A7" w:rsidRDefault="00DF7B03" w:rsidP="00DF7B03">
      <w:pPr>
        <w:spacing w:line="276" w:lineRule="auto"/>
        <w:jc w:val="both"/>
      </w:pPr>
    </w:p>
    <w:p w14:paraId="31D99676" w14:textId="77777777" w:rsidR="00DF7B03" w:rsidRPr="006225A7" w:rsidRDefault="00DF7B03" w:rsidP="00DF7B03">
      <w:pPr>
        <w:pStyle w:val="Akapitzlist"/>
        <w:numPr>
          <w:ilvl w:val="0"/>
          <w:numId w:val="2"/>
        </w:numPr>
        <w:spacing w:line="276" w:lineRule="auto"/>
        <w:jc w:val="both"/>
        <w:rPr>
          <w:b/>
        </w:rPr>
      </w:pPr>
      <w:r w:rsidRPr="006225A7">
        <w:rPr>
          <w:b/>
        </w:rPr>
        <w:t>Informacje dla Wykonawców:</w:t>
      </w:r>
    </w:p>
    <w:p w14:paraId="036E04E9" w14:textId="77777777" w:rsidR="00DF7B03" w:rsidRPr="006225A7" w:rsidRDefault="00DF7B03" w:rsidP="00DF7B03">
      <w:pPr>
        <w:spacing w:line="276" w:lineRule="auto"/>
        <w:jc w:val="both"/>
      </w:pPr>
      <w:r w:rsidRPr="006225A7">
        <w:t>Informacje odnośnie zapytania ofertowego można uzyskać w siedzibie URBITOR Spółka z ograniczoną odpowiedzialnością z siedzibą w Toruniu, ul. Chrobrego 105/107, 87-100 Toruń.</w:t>
      </w:r>
    </w:p>
    <w:p w14:paraId="2EBF2288" w14:textId="77777777" w:rsidR="00DF7B03" w:rsidRPr="0048650D" w:rsidRDefault="00DF7B03" w:rsidP="00DF7B03">
      <w:pPr>
        <w:rPr>
          <w:b/>
          <w:bCs/>
        </w:rPr>
      </w:pPr>
    </w:p>
    <w:p w14:paraId="25B90B37" w14:textId="77777777" w:rsidR="00636E0F" w:rsidRDefault="00636E0F"/>
    <w:sectPr w:rsidR="00636E0F">
      <w:head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849C" w14:textId="77777777" w:rsidR="0048650D" w:rsidRPr="0048650D" w:rsidRDefault="00DF7B03">
    <w:pPr>
      <w:pStyle w:val="Nagwek"/>
      <w:rPr>
        <w:b/>
        <w:bCs/>
      </w:rPr>
    </w:pPr>
    <w:r>
      <w:rPr>
        <w:noProof/>
      </w:rPr>
      <w:drawing>
        <wp:inline distT="0" distB="0" distL="0" distR="0" wp14:anchorId="3BE66A9D" wp14:editId="1194D0D2">
          <wp:extent cx="5707380" cy="603250"/>
          <wp:effectExtent l="0" t="0" r="7620" b="6350"/>
          <wp:docPr id="21" name="Obraz 21"/>
          <wp:cNvGraphicFramePr/>
          <a:graphic xmlns:a="http://schemas.openxmlformats.org/drawingml/2006/main">
            <a:graphicData uri="http://schemas.openxmlformats.org/drawingml/2006/picture">
              <pic:pic xmlns:pic="http://schemas.openxmlformats.org/drawingml/2006/picture">
                <pic:nvPicPr>
                  <pic:cNvPr id="21" name="Obraz 2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7380" cy="603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D1A95"/>
    <w:multiLevelType w:val="hybridMultilevel"/>
    <w:tmpl w:val="11CE5C06"/>
    <w:lvl w:ilvl="0" w:tplc="04150001">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 w15:restartNumberingAfterBreak="0">
    <w:nsid w:val="32465DD7"/>
    <w:multiLevelType w:val="hybridMultilevel"/>
    <w:tmpl w:val="A8C86B04"/>
    <w:lvl w:ilvl="0" w:tplc="FA3216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BA6E6A"/>
    <w:multiLevelType w:val="multilevel"/>
    <w:tmpl w:val="29CCD9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03"/>
    <w:rsid w:val="00636E0F"/>
    <w:rsid w:val="00DF7B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9FF5"/>
  <w15:chartTrackingRefBased/>
  <w15:docId w15:val="{A6EFA8FB-2664-49D9-97BA-1FF7AE0C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7B03"/>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qFormat/>
    <w:rsid w:val="00DF7B03"/>
    <w:pPr>
      <w:keepNext/>
      <w:widowControl/>
      <w:autoSpaceDE/>
      <w:autoSpaceDN/>
      <w:adjustRightInd/>
      <w:outlineLvl w:val="0"/>
    </w:pPr>
    <w:rPr>
      <w:b/>
      <w:bCs/>
      <w:sz w:val="18"/>
      <w:szCs w:val="18"/>
    </w:rPr>
  </w:style>
  <w:style w:type="paragraph" w:styleId="Nagwek2">
    <w:name w:val="heading 2"/>
    <w:basedOn w:val="Normalny"/>
    <w:next w:val="Normalny"/>
    <w:link w:val="Nagwek2Znak"/>
    <w:qFormat/>
    <w:rsid w:val="00DF7B03"/>
    <w:pPr>
      <w:keepNext/>
      <w:widowControl/>
      <w:autoSpaceDE/>
      <w:autoSpaceDN/>
      <w:adjustRightInd/>
      <w:jc w:val="both"/>
      <w:outlineLvl w:val="1"/>
    </w:pPr>
    <w:rPr>
      <w:rFonts w:ascii="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7B03"/>
    <w:rPr>
      <w:rFonts w:ascii="Arial" w:eastAsia="Times New Roman" w:hAnsi="Arial" w:cs="Arial"/>
      <w:b/>
      <w:bCs/>
      <w:sz w:val="18"/>
      <w:szCs w:val="18"/>
      <w:lang w:eastAsia="pl-PL"/>
    </w:rPr>
  </w:style>
  <w:style w:type="character" w:customStyle="1" w:styleId="Nagwek2Znak">
    <w:name w:val="Nagłówek 2 Znak"/>
    <w:basedOn w:val="Domylnaczcionkaakapitu"/>
    <w:link w:val="Nagwek2"/>
    <w:rsid w:val="00DF7B03"/>
    <w:rPr>
      <w:rFonts w:ascii="Times New Roman" w:eastAsia="Times New Roman" w:hAnsi="Times New Roman" w:cs="Times New Roman"/>
      <w:b/>
      <w:bCs/>
      <w:sz w:val="24"/>
      <w:szCs w:val="24"/>
      <w:lang w:eastAsia="pl-PL"/>
    </w:rPr>
  </w:style>
  <w:style w:type="paragraph" w:customStyle="1" w:styleId="Style14">
    <w:name w:val="Style14"/>
    <w:basedOn w:val="Normalny"/>
    <w:rsid w:val="00DF7B03"/>
    <w:rPr>
      <w:rFonts w:ascii="Calibri" w:hAnsi="Calibri" w:cs="Times New Roman"/>
      <w:sz w:val="24"/>
      <w:szCs w:val="24"/>
    </w:rPr>
  </w:style>
  <w:style w:type="character" w:customStyle="1" w:styleId="ZnakZnakZnakZnakZnakZnak">
    <w:name w:val="Znak Znak Znak Znak Znak Znak"/>
    <w:basedOn w:val="Domylnaczcionkaakapitu"/>
    <w:semiHidden/>
    <w:rsid w:val="00DF7B03"/>
  </w:style>
  <w:style w:type="character" w:customStyle="1" w:styleId="FontStyle30">
    <w:name w:val="Font Style30"/>
    <w:uiPriority w:val="99"/>
    <w:rsid w:val="00DF7B03"/>
    <w:rPr>
      <w:rFonts w:ascii="Calibri" w:hAnsi="Calibri" w:cs="Calibri"/>
      <w:i/>
      <w:iCs/>
      <w:sz w:val="20"/>
      <w:szCs w:val="20"/>
    </w:rPr>
  </w:style>
  <w:style w:type="paragraph" w:customStyle="1" w:styleId="Style9">
    <w:name w:val="Style9"/>
    <w:basedOn w:val="Normalny"/>
    <w:uiPriority w:val="99"/>
    <w:rsid w:val="00DF7B03"/>
    <w:pPr>
      <w:spacing w:line="312" w:lineRule="exact"/>
      <w:ind w:hanging="355"/>
      <w:jc w:val="both"/>
    </w:pPr>
    <w:rPr>
      <w:rFonts w:ascii="Calibri" w:hAnsi="Calibri" w:cs="Times New Roman"/>
      <w:sz w:val="24"/>
      <w:szCs w:val="24"/>
    </w:rPr>
  </w:style>
  <w:style w:type="character" w:customStyle="1" w:styleId="FontStyle31">
    <w:name w:val="Font Style31"/>
    <w:rsid w:val="00DF7B03"/>
    <w:rPr>
      <w:rFonts w:ascii="Calibri" w:hAnsi="Calibri" w:cs="Calibri"/>
      <w:sz w:val="20"/>
      <w:szCs w:val="20"/>
    </w:rPr>
  </w:style>
  <w:style w:type="paragraph" w:customStyle="1" w:styleId="Style17">
    <w:name w:val="Style17"/>
    <w:basedOn w:val="Normalny"/>
    <w:rsid w:val="00DF7B03"/>
    <w:pPr>
      <w:spacing w:line="312" w:lineRule="exact"/>
      <w:ind w:hanging="360"/>
      <w:jc w:val="both"/>
    </w:pPr>
    <w:rPr>
      <w:rFonts w:ascii="Calibri" w:hAnsi="Calibri" w:cs="Times New Roman"/>
      <w:sz w:val="24"/>
      <w:szCs w:val="24"/>
    </w:rPr>
  </w:style>
  <w:style w:type="paragraph" w:styleId="Akapitzlist">
    <w:name w:val="List Paragraph"/>
    <w:basedOn w:val="Normalny"/>
    <w:uiPriority w:val="34"/>
    <w:qFormat/>
    <w:rsid w:val="00DF7B03"/>
    <w:pPr>
      <w:widowControl/>
      <w:autoSpaceDE/>
      <w:autoSpaceDN/>
      <w:adjustRightInd/>
      <w:ind w:left="720"/>
      <w:contextualSpacing/>
    </w:pPr>
    <w:rPr>
      <w:rFonts w:asciiTheme="minorHAnsi" w:eastAsiaTheme="minorHAnsi" w:hAnsiTheme="minorHAnsi" w:cstheme="minorBidi"/>
      <w:sz w:val="24"/>
      <w:szCs w:val="24"/>
      <w:lang w:eastAsia="en-US"/>
    </w:rPr>
  </w:style>
  <w:style w:type="character" w:styleId="Hipercze">
    <w:name w:val="Hyperlink"/>
    <w:basedOn w:val="Domylnaczcionkaakapitu"/>
    <w:uiPriority w:val="99"/>
    <w:unhideWhenUsed/>
    <w:rsid w:val="00DF7B03"/>
    <w:rPr>
      <w:color w:val="0563C1" w:themeColor="hyperlink"/>
      <w:u w:val="single"/>
    </w:rPr>
  </w:style>
  <w:style w:type="paragraph" w:styleId="Nagwek">
    <w:name w:val="header"/>
    <w:basedOn w:val="Normalny"/>
    <w:link w:val="NagwekZnak"/>
    <w:uiPriority w:val="99"/>
    <w:unhideWhenUsed/>
    <w:rsid w:val="00DF7B03"/>
    <w:pPr>
      <w:tabs>
        <w:tab w:val="center" w:pos="4536"/>
        <w:tab w:val="right" w:pos="9072"/>
      </w:tabs>
    </w:pPr>
  </w:style>
  <w:style w:type="character" w:customStyle="1" w:styleId="NagwekZnak">
    <w:name w:val="Nagłówek Znak"/>
    <w:basedOn w:val="Domylnaczcionkaakapitu"/>
    <w:link w:val="Nagwek"/>
    <w:uiPriority w:val="99"/>
    <w:rsid w:val="00DF7B03"/>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sekretariat@urbitor.pl"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6238</Characters>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2020-06-12T06:38:00Z</dcterms:created>
  <dcterms:modified xsi:type="dcterms:W3CDTF">2020-06-12T06:39:00Z</dcterms:modified>
</cp:coreProperties>
</file>